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9E57" w14:textId="4F351BE7" w:rsidR="006244F7" w:rsidRPr="006244F7" w:rsidRDefault="006244F7" w:rsidP="006244F7">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6244F7">
        <w:rPr>
          <w:rFonts w:ascii="Verdana" w:eastAsia="Times New Roman" w:hAnsi="Verdana" w:cs="Times New Roman"/>
          <w:color w:val="CC3300"/>
          <w:kern w:val="36"/>
          <w:sz w:val="36"/>
          <w:szCs w:val="36"/>
          <w:lang w:eastAsia="fr-BE"/>
        </w:rPr>
        <w:t>Cuivre</w:t>
      </w:r>
      <w:r>
        <w:rPr>
          <w:rFonts w:ascii="Verdana" w:eastAsia="Times New Roman" w:hAnsi="Verdana" w:cs="Times New Roman"/>
          <w:color w:val="CC3300"/>
          <w:kern w:val="36"/>
          <w:sz w:val="36"/>
          <w:szCs w:val="36"/>
          <w:lang w:eastAsia="fr-BE"/>
        </w:rPr>
        <w:t>,</w:t>
      </w:r>
      <w:r w:rsidRPr="006244F7">
        <w:rPr>
          <w:rFonts w:ascii="Verdana" w:eastAsia="Times New Roman" w:hAnsi="Verdana" w:cs="Times New Roman"/>
          <w:color w:val="CC3300"/>
          <w:kern w:val="36"/>
          <w:sz w:val="36"/>
          <w:szCs w:val="36"/>
          <w:lang w:eastAsia="fr-BE"/>
        </w:rPr>
        <w:t xml:space="preserve"> Goldman Sachs prévoit une forte hausse des cours et une demande record</w:t>
      </w:r>
    </w:p>
    <w:p w14:paraId="592EBA73" w14:textId="77777777" w:rsidR="006244F7" w:rsidRDefault="006244F7" w:rsidP="006244F7">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68D45341" w14:textId="66D01E7E" w:rsidR="006244F7" w:rsidRPr="006244F7" w:rsidRDefault="006244F7" w:rsidP="006244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6244F7">
        <w:rPr>
          <w:rFonts w:ascii="Verdana" w:eastAsia="Times New Roman" w:hAnsi="Verdana" w:cs="Times New Roman"/>
          <w:color w:val="000000"/>
          <w:sz w:val="23"/>
          <w:szCs w:val="23"/>
          <w:lang w:eastAsia="fr-BE"/>
        </w:rPr>
        <w:t>Selon Goldman Sachs, le cours du métal rouge pourrait atteindre 15.000 $/t d’ici 5 ans, dopé par une forte progression de la demande en cuivre, baptisé par la banque «</w:t>
      </w:r>
      <w:r w:rsidRPr="006244F7">
        <w:rPr>
          <w:rFonts w:ascii="Verdana" w:eastAsia="Times New Roman" w:hAnsi="Verdana" w:cs="Times New Roman"/>
          <w:i/>
          <w:iCs/>
          <w:color w:val="000000"/>
          <w:sz w:val="23"/>
          <w:szCs w:val="23"/>
          <w:lang w:eastAsia="fr-BE"/>
        </w:rPr>
        <w:t> le nouvel or noir</w:t>
      </w:r>
      <w:r w:rsidRPr="006244F7">
        <w:rPr>
          <w:rFonts w:ascii="Verdana" w:eastAsia="Times New Roman" w:hAnsi="Verdana" w:cs="Times New Roman"/>
          <w:color w:val="000000"/>
          <w:sz w:val="23"/>
          <w:szCs w:val="23"/>
          <w:lang w:eastAsia="fr-BE"/>
        </w:rPr>
        <w:t> », en raison de son implication dans les technologies vertes.</w:t>
      </w:r>
    </w:p>
    <w:p w14:paraId="348ACC64" w14:textId="77777777" w:rsidR="006244F7" w:rsidRPr="006244F7" w:rsidRDefault="006244F7" w:rsidP="006244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6244F7">
        <w:rPr>
          <w:rFonts w:ascii="Verdana" w:eastAsia="Times New Roman" w:hAnsi="Verdana" w:cs="Times New Roman"/>
          <w:color w:val="000000"/>
          <w:sz w:val="23"/>
          <w:szCs w:val="23"/>
          <w:lang w:eastAsia="fr-BE"/>
        </w:rPr>
        <w:t> </w:t>
      </w:r>
    </w:p>
    <w:p w14:paraId="4BCFE1C2" w14:textId="77777777" w:rsidR="006244F7" w:rsidRPr="006244F7" w:rsidRDefault="006244F7" w:rsidP="006244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6244F7">
        <w:rPr>
          <w:rFonts w:ascii="Verdana" w:eastAsia="Times New Roman" w:hAnsi="Verdana" w:cs="Times New Roman"/>
          <w:color w:val="000000"/>
          <w:sz w:val="23"/>
          <w:szCs w:val="23"/>
          <w:lang w:eastAsia="fr-BE"/>
        </w:rPr>
        <w:t>Les analystes de la banque d’affaires, avec Nicholas Snowdon à leur tête, ont rehaussé leurs prévisions à 12 mois à 11.000 $/t. Pour 2021, ils prévoient une moyenne de 9.675 $/t - une prévision supérieure à leur précédente estimation de 8.625 $/t établie en décembre 2020. Les prévisions haussières mentionnent un cours du cuivre à 15.000 $/t d’ici 2025. « </w:t>
      </w:r>
      <w:r w:rsidRPr="006244F7">
        <w:rPr>
          <w:rFonts w:ascii="Verdana" w:eastAsia="Times New Roman" w:hAnsi="Verdana" w:cs="Times New Roman"/>
          <w:i/>
          <w:iCs/>
          <w:color w:val="000000"/>
          <w:sz w:val="23"/>
          <w:szCs w:val="23"/>
          <w:lang w:eastAsia="fr-BE"/>
        </w:rPr>
        <w:t xml:space="preserve">Atteindre le zéro émission de carbone est l’élément moteur du changement structurel de la demande </w:t>
      </w:r>
      <w:proofErr w:type="gramStart"/>
      <w:r w:rsidRPr="006244F7">
        <w:rPr>
          <w:rFonts w:ascii="Verdana" w:eastAsia="Times New Roman" w:hAnsi="Verdana" w:cs="Times New Roman"/>
          <w:i/>
          <w:iCs/>
          <w:color w:val="000000"/>
          <w:sz w:val="23"/>
          <w:szCs w:val="23"/>
          <w:lang w:eastAsia="fr-BE"/>
        </w:rPr>
        <w:t>en  matières</w:t>
      </w:r>
      <w:proofErr w:type="gramEnd"/>
      <w:r w:rsidRPr="006244F7">
        <w:rPr>
          <w:rFonts w:ascii="Verdana" w:eastAsia="Times New Roman" w:hAnsi="Verdana" w:cs="Times New Roman"/>
          <w:i/>
          <w:iCs/>
          <w:color w:val="000000"/>
          <w:sz w:val="23"/>
          <w:szCs w:val="23"/>
          <w:lang w:eastAsia="fr-BE"/>
        </w:rPr>
        <w:t xml:space="preserve"> premières, parmi lesquelles les métaux verts comme le cuivre sont des matériaux critiques</w:t>
      </w:r>
      <w:r w:rsidRPr="006244F7">
        <w:rPr>
          <w:rFonts w:ascii="Verdana" w:eastAsia="Times New Roman" w:hAnsi="Verdana" w:cs="Times New Roman"/>
          <w:color w:val="000000"/>
          <w:sz w:val="23"/>
          <w:szCs w:val="23"/>
          <w:lang w:eastAsia="fr-BE"/>
        </w:rPr>
        <w:t> », explique Nicholas Snowdon. Le cours du cuivre a beaucoup progressé au cours des douze derniers mois, en route vers un super cycle ? « </w:t>
      </w:r>
      <w:r w:rsidRPr="006244F7">
        <w:rPr>
          <w:rFonts w:ascii="Verdana" w:eastAsia="Times New Roman" w:hAnsi="Verdana" w:cs="Times New Roman"/>
          <w:i/>
          <w:iCs/>
          <w:color w:val="000000"/>
          <w:sz w:val="23"/>
          <w:szCs w:val="23"/>
          <w:lang w:eastAsia="fr-BE"/>
        </w:rPr>
        <w:t>Le cuivre est le plus rentable des matériaux conducteurs, il est un élément clé dans la capture, le stockage et le transport des nouvelles sources d’énergies</w:t>
      </w:r>
      <w:r w:rsidRPr="006244F7">
        <w:rPr>
          <w:rFonts w:ascii="Verdana" w:eastAsia="Times New Roman" w:hAnsi="Verdana" w:cs="Times New Roman"/>
          <w:color w:val="000000"/>
          <w:sz w:val="23"/>
          <w:szCs w:val="23"/>
          <w:lang w:eastAsia="fr-BE"/>
        </w:rPr>
        <w:t xml:space="preserve"> », considèrent les analystes, selon qui la demande augmentera en raison de la volonté mondiale de décarboner l’économie et des besoins accrus </w:t>
      </w:r>
      <w:proofErr w:type="gramStart"/>
      <w:r w:rsidRPr="006244F7">
        <w:rPr>
          <w:rFonts w:ascii="Verdana" w:eastAsia="Times New Roman" w:hAnsi="Verdana" w:cs="Times New Roman"/>
          <w:color w:val="000000"/>
          <w:sz w:val="23"/>
          <w:szCs w:val="23"/>
          <w:lang w:eastAsia="fr-BE"/>
        </w:rPr>
        <w:t>dans</w:t>
      </w:r>
      <w:proofErr w:type="gramEnd"/>
      <w:r w:rsidRPr="006244F7">
        <w:rPr>
          <w:rFonts w:ascii="Verdana" w:eastAsia="Times New Roman" w:hAnsi="Verdana" w:cs="Times New Roman"/>
          <w:color w:val="000000"/>
          <w:sz w:val="23"/>
          <w:szCs w:val="23"/>
          <w:lang w:eastAsia="fr-BE"/>
        </w:rPr>
        <w:t xml:space="preserve"> les secteurs des véhicules électriques (VE) et de la production d’énergies éolienne et solaire. La demande provenant de ces secteurs est attendue en hausse de 600% d’ici 2030, où elle est anticipée à 5,4 millions de tonnes par an. Si l’économie prend un virage très marqué vers les technologies vertes alors la demande pourrait bondir de 900%, à 8,7 millions de tonnes par an, poursuit la banque. Pour comparaison, la consommation globale de cuivre affiné était de 24,9 millions de tonnes en 2020, selon des données provenant du Bureau mondial des statistiques sur les métaux.</w:t>
      </w:r>
    </w:p>
    <w:p w14:paraId="0114A99F" w14:textId="77777777" w:rsidR="006244F7" w:rsidRPr="006244F7" w:rsidRDefault="006244F7" w:rsidP="006244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6244F7">
        <w:rPr>
          <w:rFonts w:ascii="Verdana" w:eastAsia="Times New Roman" w:hAnsi="Verdana" w:cs="Times New Roman"/>
          <w:color w:val="000000"/>
          <w:sz w:val="23"/>
          <w:szCs w:val="23"/>
          <w:lang w:eastAsia="fr-BE"/>
        </w:rPr>
        <w:t>Au regard des perturbations dans l’approvisionnement, apparues avec la pandémie de Covid-19, et de l’impréparation du marché à un tel niveau de demande, le risque de pénurie sera un vrai sujet d’inquiétude durant les prochaines années. Or les cours doivent encore augmenter pour que les producteurs décident d’investir dans de nouveaux projets. Cette crainte de pénurie s’étendra également aux secteurs hors croissance verte, préviennent les analystes qui affirment que la prochaine décennie devrait voir la plus forte croissance de la demande jamais observée dans l’histoire du cuivre.</w:t>
      </w:r>
    </w:p>
    <w:p w14:paraId="132A45A8" w14:textId="77777777" w:rsidR="00376CD6" w:rsidRDefault="00376CD6"/>
    <w:sectPr w:rsidR="00376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F7"/>
    <w:rsid w:val="00376CD6"/>
    <w:rsid w:val="006244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9274"/>
  <w15:chartTrackingRefBased/>
  <w15:docId w15:val="{05899BCD-428E-4BB8-B47A-B9A40EB8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2112</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2021-04-21T05:46:00Z</dcterms:created>
  <dcterms:modified xsi:type="dcterms:W3CDTF">2021-04-21T05:47:00Z</dcterms:modified>
</cp:coreProperties>
</file>